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13" w:rsidRPr="00571B13" w:rsidRDefault="00571B13" w:rsidP="00571B13">
      <w:pPr>
        <w:spacing w:after="0" w:line="240" w:lineRule="auto"/>
        <w:jc w:val="both"/>
        <w:rPr>
          <w:b/>
          <w:u w:val="single"/>
        </w:rPr>
      </w:pPr>
      <w:r>
        <w:rPr>
          <w:b/>
          <w:u w:val="single"/>
        </w:rPr>
        <w:t xml:space="preserve">Aus den Entscheidungsgründen (zitiert nach </w:t>
      </w:r>
      <w:proofErr w:type="spellStart"/>
      <w:r>
        <w:rPr>
          <w:b/>
          <w:u w:val="single"/>
        </w:rPr>
        <w:t>juris</w:t>
      </w:r>
      <w:proofErr w:type="spellEnd"/>
      <w:r>
        <w:rPr>
          <w:b/>
          <w:u w:val="single"/>
        </w:rPr>
        <w:t>)</w:t>
      </w:r>
    </w:p>
    <w:p w:rsidR="00571B13" w:rsidRDefault="00571B13" w:rsidP="00571B13">
      <w:pPr>
        <w:spacing w:after="0" w:line="240" w:lineRule="auto"/>
        <w:jc w:val="both"/>
        <w:rPr>
          <w:b/>
        </w:rPr>
      </w:pPr>
    </w:p>
    <w:p w:rsidR="00571B13" w:rsidRDefault="00571B13" w:rsidP="00571B13">
      <w:pPr>
        <w:spacing w:after="0" w:line="240" w:lineRule="auto"/>
        <w:jc w:val="both"/>
        <w:rPr>
          <w:b/>
        </w:rPr>
      </w:pPr>
    </w:p>
    <w:p w:rsidR="00571B13" w:rsidRDefault="00571B13" w:rsidP="00571B13">
      <w:pPr>
        <w:spacing w:after="0" w:line="240" w:lineRule="auto"/>
        <w:jc w:val="both"/>
      </w:pPr>
      <w:r w:rsidRPr="00571B13">
        <w:rPr>
          <w:b/>
        </w:rPr>
        <w:t>Leitsatz</w:t>
      </w:r>
    </w:p>
    <w:p w:rsidR="00571B13" w:rsidRDefault="00571B13" w:rsidP="00571B13">
      <w:pPr>
        <w:spacing w:after="0" w:line="240" w:lineRule="auto"/>
        <w:jc w:val="both"/>
      </w:pPr>
    </w:p>
    <w:p w:rsidR="00E024DA" w:rsidRDefault="00571B13" w:rsidP="00571B13">
      <w:pPr>
        <w:spacing w:after="0" w:line="240" w:lineRule="auto"/>
        <w:jc w:val="both"/>
      </w:pPr>
      <w:r>
        <w:t>§ 67 Abs. 2 VVG a.F. ist analog auch auf Partner einer nichtehelichen Lebensgemeinschaft anwendbar (Rn.9)(Rn.17).</w:t>
      </w:r>
    </w:p>
    <w:p w:rsidR="00E024DA" w:rsidRDefault="00E024DA" w:rsidP="00E024DA">
      <w:pPr>
        <w:spacing w:after="0" w:line="240" w:lineRule="auto"/>
        <w:jc w:val="both"/>
      </w:pPr>
    </w:p>
    <w:p w:rsidR="00E024DA" w:rsidRDefault="00E024DA" w:rsidP="00E024DA">
      <w:pPr>
        <w:spacing w:after="0" w:line="240" w:lineRule="auto"/>
        <w:jc w:val="both"/>
      </w:pPr>
      <w:r w:rsidRPr="00571B13">
        <w:rPr>
          <w:b/>
        </w:rPr>
        <w:t>Tenor</w:t>
      </w:r>
    </w:p>
    <w:p w:rsidR="00E024DA" w:rsidRDefault="00E024DA" w:rsidP="00E024DA">
      <w:pPr>
        <w:spacing w:after="0" w:line="240" w:lineRule="auto"/>
        <w:jc w:val="both"/>
      </w:pPr>
    </w:p>
    <w:p w:rsidR="00E024DA" w:rsidRDefault="00E024DA" w:rsidP="00E024DA">
      <w:pPr>
        <w:spacing w:after="0" w:line="240" w:lineRule="auto"/>
        <w:jc w:val="both"/>
      </w:pPr>
      <w:r>
        <w:t>Auf die Revision der Klägerin wird das Urteil des 9. Zivilsenats des Oberlandesgerichts Naumburg vom 15. Mai 2007 aufgehoben.</w:t>
      </w:r>
    </w:p>
    <w:p w:rsidR="00E024DA" w:rsidRDefault="00E024DA" w:rsidP="00E024DA">
      <w:pPr>
        <w:spacing w:after="0" w:line="240" w:lineRule="auto"/>
        <w:jc w:val="both"/>
      </w:pPr>
    </w:p>
    <w:p w:rsidR="00E024DA" w:rsidRDefault="00E024DA" w:rsidP="00E024DA">
      <w:pPr>
        <w:spacing w:after="0" w:line="240" w:lineRule="auto"/>
        <w:jc w:val="both"/>
      </w:pPr>
      <w:r>
        <w:t>Die Sache wird zur neuen Verhandlung und Entscheidung, auch über die Kosten des Revisionsverfahrens, an das Berufungsgericht zurückverwiesen.</w:t>
      </w:r>
    </w:p>
    <w:p w:rsidR="00E024DA" w:rsidRDefault="00E024DA" w:rsidP="00E024DA">
      <w:pPr>
        <w:spacing w:after="0" w:line="240" w:lineRule="auto"/>
        <w:jc w:val="both"/>
      </w:pPr>
    </w:p>
    <w:p w:rsidR="00E024DA" w:rsidRDefault="00E024DA" w:rsidP="00E024DA">
      <w:pPr>
        <w:spacing w:after="0" w:line="240" w:lineRule="auto"/>
        <w:jc w:val="both"/>
      </w:pPr>
    </w:p>
    <w:p w:rsidR="00E024DA" w:rsidRDefault="00E024DA" w:rsidP="00E024DA">
      <w:pPr>
        <w:spacing w:after="0" w:line="240" w:lineRule="auto"/>
        <w:jc w:val="both"/>
      </w:pPr>
      <w:r>
        <w:t>Von Rechts wegen</w:t>
      </w:r>
    </w:p>
    <w:p w:rsidR="00E024DA" w:rsidRDefault="00E024DA" w:rsidP="00E024DA">
      <w:pPr>
        <w:spacing w:after="0" w:line="240" w:lineRule="auto"/>
        <w:jc w:val="both"/>
      </w:pPr>
    </w:p>
    <w:p w:rsidR="00E024DA" w:rsidRDefault="00E024DA" w:rsidP="00E024DA">
      <w:pPr>
        <w:spacing w:after="0" w:line="240" w:lineRule="auto"/>
        <w:jc w:val="both"/>
      </w:pPr>
    </w:p>
    <w:p w:rsidR="00E024DA" w:rsidRDefault="00E024DA" w:rsidP="00E024DA">
      <w:pPr>
        <w:spacing w:after="0" w:line="240" w:lineRule="auto"/>
        <w:jc w:val="both"/>
      </w:pPr>
      <w:r w:rsidRPr="00571B13">
        <w:rPr>
          <w:b/>
        </w:rPr>
        <w:t>Tatbestand</w:t>
      </w:r>
      <w:bookmarkStart w:id="0" w:name="_GoBack"/>
      <w:bookmarkEnd w:id="0"/>
    </w:p>
    <w:p w:rsidR="00E024DA" w:rsidRDefault="00E024DA" w:rsidP="00E024DA">
      <w:pPr>
        <w:spacing w:after="0" w:line="240" w:lineRule="auto"/>
        <w:jc w:val="both"/>
      </w:pPr>
    </w:p>
    <w:p w:rsidR="00E024DA" w:rsidRDefault="00E024DA" w:rsidP="00E024DA">
      <w:pPr>
        <w:spacing w:after="0" w:line="240" w:lineRule="auto"/>
        <w:jc w:val="both"/>
      </w:pPr>
      <w:r>
        <w:t>1</w:t>
      </w:r>
    </w:p>
    <w:p w:rsidR="00E024DA" w:rsidRDefault="00E024DA" w:rsidP="00E024DA">
      <w:pPr>
        <w:spacing w:after="0" w:line="240" w:lineRule="auto"/>
        <w:jc w:val="both"/>
      </w:pPr>
      <w:r>
        <w:t xml:space="preserve"> Die Klägerin begehrt von der Beklagten Schadensersatz im Regresswege nach § 67 Abs. 1 Satz 1 VVG a.F. </w:t>
      </w:r>
    </w:p>
    <w:p w:rsidR="00E024DA" w:rsidRDefault="00E024DA" w:rsidP="00E024DA">
      <w:pPr>
        <w:spacing w:after="0" w:line="240" w:lineRule="auto"/>
        <w:jc w:val="both"/>
      </w:pPr>
    </w:p>
    <w:p w:rsidR="00E024DA" w:rsidRDefault="00E024DA" w:rsidP="00E024DA">
      <w:pPr>
        <w:spacing w:after="0" w:line="240" w:lineRule="auto"/>
        <w:jc w:val="both"/>
      </w:pPr>
      <w:r>
        <w:t>2</w:t>
      </w:r>
    </w:p>
    <w:p w:rsidR="00E024DA" w:rsidRDefault="00E024DA" w:rsidP="00E024DA">
      <w:pPr>
        <w:spacing w:after="0" w:line="240" w:lineRule="auto"/>
        <w:jc w:val="both"/>
      </w:pPr>
      <w:r>
        <w:t xml:space="preserve"> Der Zeuge P. (im Folgenden: Versicherungsnehmer) hielt bei der Klägerin eine Kfz-Vollversicherung (Vollkasko) für einen geleasten Pkw, der bei einem von der Beklagten als Fahrerin verursachten Verkehrsunfall einen wirtschaftlichen Totalschaden erlitt. Im Unfallzeitpunkt stand der Pkw im Eigentum des Leasingunternehmens. Leasingnehmerin und als Halterin eingetragen war eine GmbH, deren Alleingesellschafter und Alleingeschäftsführer der Versicherungsnehmer war. Diese GmbH hatte den Pkw dem Versicherungsnehmer zur geschäftlichen und privaten Nutzung überlassen. Auf Grund des Versicherungsvertrags zahlte die Klägerin nach rechtskräftiger Verurteilung an den Versicherungsnehmer einen Betrag von 15.906,90 € und nimmt die Beklagte nun in derselben Höhe in Regress. </w:t>
      </w:r>
    </w:p>
    <w:p w:rsidR="00E024DA" w:rsidRDefault="00E024DA" w:rsidP="00E024DA">
      <w:pPr>
        <w:spacing w:after="0" w:line="240" w:lineRule="auto"/>
        <w:jc w:val="both"/>
      </w:pPr>
    </w:p>
    <w:p w:rsidR="00E024DA" w:rsidRDefault="00E024DA" w:rsidP="00E024DA">
      <w:pPr>
        <w:spacing w:after="0" w:line="240" w:lineRule="auto"/>
        <w:jc w:val="both"/>
      </w:pPr>
      <w:r>
        <w:t>3</w:t>
      </w:r>
    </w:p>
    <w:p w:rsidR="00E024DA" w:rsidRDefault="00E024DA" w:rsidP="00E024DA">
      <w:pPr>
        <w:spacing w:after="0" w:line="240" w:lineRule="auto"/>
        <w:jc w:val="both"/>
      </w:pPr>
      <w:r>
        <w:t xml:space="preserve"> Die Klägerin ist der Auffassung, die Beklagte habe den Unfall grob fahrlässig verursacht. Sowohl dem Versicherungsnehmer als auch dem Leasingunternehmen hätten deswegen Schadensersatzansprüche gegen die Beklagte zugestanden, die nach geleisteter Zahlung auf sie, die Klägerin, gemäß § 67 Abs. 1 Satz 1 VVG a.F. übergegangen seien. </w:t>
      </w:r>
    </w:p>
    <w:p w:rsidR="00E024DA" w:rsidRDefault="00E024DA" w:rsidP="00E024DA">
      <w:pPr>
        <w:spacing w:after="0" w:line="240" w:lineRule="auto"/>
        <w:jc w:val="both"/>
      </w:pPr>
    </w:p>
    <w:p w:rsidR="00E024DA" w:rsidRDefault="00E024DA" w:rsidP="00E024DA">
      <w:pPr>
        <w:spacing w:after="0" w:line="240" w:lineRule="auto"/>
        <w:jc w:val="both"/>
      </w:pPr>
      <w:r>
        <w:t>4</w:t>
      </w:r>
    </w:p>
    <w:p w:rsidR="00E024DA" w:rsidRDefault="00E024DA" w:rsidP="00E024DA">
      <w:pPr>
        <w:spacing w:after="0" w:line="240" w:lineRule="auto"/>
        <w:jc w:val="both"/>
      </w:pPr>
      <w:r>
        <w:t xml:space="preserve"> Die Beklagte meint, ein Anspruchsübergang sei nach § 67 Abs. 2 VVG a.F. ausgeschlossen, weil sie als Familienangehörige des Versicherungsnehmers, ihres Lebensgefährten, angesehen oder zumindest wie eine solche behandelt werden müsse. Sie beruft sich darauf, dass sie und der Versicherungsnehmer seit Jahren einen gemeinsamen Hausstand führen und ein 1999 geborenes gemeinsames Kind haben, das sie gemeinsam aufziehen. Im Einzelnen behauptet die Beklagte, sie lebe mit dem Versicherungsnehmer bereits seit dem Jahr 1989 nichtehelich zusammen und übe das Sorgerecht für das Kind mit ihm gemeinsam aus. Der Lebensunterhalt werde seit Begründung der nichtehelichen Lebensgemeinschaft gemeinschaftlich aus ihren beiden Einkommen bestritten, ohne dass eine Trennung der erwirtschafteten Mittel vorgenommen werde. Ein gemeinsam errichtetes </w:t>
      </w:r>
      <w:r>
        <w:lastRenderedPageBreak/>
        <w:t xml:space="preserve">Eigenheim sei von beiden gemeinsam finanziert worden und werde aus den gemeinschaftlichen Einkünften abbezahlt. Sie und der Versicherungsnehmer hätten sich gegenseitig zu Alleinerben eingesetzt und Vorsorgevollmachten erteilt. Der Versicherungsnehmer habe sie im Rahmen seiner privaten Altersvorsorge als alleinige Bezugsberechtigte eingesetzt. </w:t>
      </w:r>
    </w:p>
    <w:p w:rsidR="00E024DA" w:rsidRDefault="00E024DA" w:rsidP="00E024DA">
      <w:pPr>
        <w:spacing w:after="0" w:line="240" w:lineRule="auto"/>
        <w:jc w:val="both"/>
      </w:pPr>
    </w:p>
    <w:p w:rsidR="00E024DA" w:rsidRDefault="00E024DA" w:rsidP="00E024DA">
      <w:pPr>
        <w:spacing w:after="0" w:line="240" w:lineRule="auto"/>
        <w:jc w:val="both"/>
      </w:pPr>
      <w:r>
        <w:t>5</w:t>
      </w:r>
    </w:p>
    <w:p w:rsidR="00E024DA" w:rsidRDefault="00E024DA" w:rsidP="00E024DA">
      <w:pPr>
        <w:spacing w:after="0" w:line="240" w:lineRule="auto"/>
        <w:jc w:val="both"/>
      </w:pPr>
      <w:r>
        <w:t xml:space="preserve"> Das Landgericht hat die Beklagte antragsgemäß verurteilt, das Oberlandesgericht hat die Klage abgewiesen. Die Klägerin begehrt mit ihrer vom Oberlandesgericht zugelassenen Revision die Wiederherstellung des landgerichtlichen Urteils. </w:t>
      </w:r>
    </w:p>
    <w:p w:rsidR="00E024DA" w:rsidRDefault="00E024DA" w:rsidP="00E024DA">
      <w:pPr>
        <w:spacing w:after="0" w:line="240" w:lineRule="auto"/>
        <w:jc w:val="both"/>
      </w:pPr>
    </w:p>
    <w:p w:rsidR="00E024DA" w:rsidRDefault="00E024DA" w:rsidP="00E024DA">
      <w:pPr>
        <w:spacing w:after="0" w:line="240" w:lineRule="auto"/>
        <w:jc w:val="both"/>
      </w:pPr>
    </w:p>
    <w:p w:rsidR="00E024DA" w:rsidRPr="00571B13" w:rsidRDefault="00E024DA" w:rsidP="00E024DA">
      <w:pPr>
        <w:spacing w:after="0" w:line="240" w:lineRule="auto"/>
        <w:jc w:val="both"/>
        <w:rPr>
          <w:b/>
        </w:rPr>
      </w:pPr>
      <w:r w:rsidRPr="00571B13">
        <w:rPr>
          <w:b/>
        </w:rPr>
        <w:t>Entscheidungsgründe</w:t>
      </w:r>
    </w:p>
    <w:p w:rsidR="00E024DA" w:rsidRDefault="00E024DA" w:rsidP="00E024DA">
      <w:pPr>
        <w:spacing w:after="0" w:line="240" w:lineRule="auto"/>
        <w:jc w:val="both"/>
      </w:pPr>
    </w:p>
    <w:p w:rsidR="00E024DA" w:rsidRDefault="00E024DA" w:rsidP="00E024DA">
      <w:pPr>
        <w:spacing w:after="0" w:line="240" w:lineRule="auto"/>
        <w:jc w:val="both"/>
      </w:pPr>
    </w:p>
    <w:p w:rsidR="00E024DA" w:rsidRDefault="00E024DA" w:rsidP="00E024DA">
      <w:pPr>
        <w:spacing w:after="0" w:line="240" w:lineRule="auto"/>
        <w:jc w:val="both"/>
      </w:pPr>
      <w:r>
        <w:t>6</w:t>
      </w:r>
    </w:p>
    <w:p w:rsidR="00E024DA" w:rsidRDefault="00E024DA" w:rsidP="00E024DA">
      <w:pPr>
        <w:spacing w:after="0" w:line="240" w:lineRule="auto"/>
        <w:jc w:val="both"/>
      </w:pPr>
      <w:r>
        <w:t>Die Revision hat Erfolg und führt zur Aufhebung des angefochtenen Urteils und zur Zurückverweisung der Sache an das Berufungsgericht.</w:t>
      </w:r>
    </w:p>
    <w:p w:rsidR="00E024DA" w:rsidRDefault="00E024DA" w:rsidP="00E024DA">
      <w:pPr>
        <w:spacing w:after="0" w:line="240" w:lineRule="auto"/>
        <w:jc w:val="both"/>
      </w:pPr>
    </w:p>
    <w:p w:rsidR="00E024DA" w:rsidRDefault="00E024DA" w:rsidP="00E024DA">
      <w:pPr>
        <w:spacing w:after="0" w:line="240" w:lineRule="auto"/>
        <w:jc w:val="both"/>
      </w:pPr>
      <w:r>
        <w:t>7</w:t>
      </w:r>
    </w:p>
    <w:p w:rsidR="00E024DA" w:rsidRDefault="00E024DA" w:rsidP="00E024DA">
      <w:pPr>
        <w:spacing w:after="0" w:line="240" w:lineRule="auto"/>
        <w:jc w:val="both"/>
      </w:pPr>
      <w:r>
        <w:t>I. Das Berufungsgericht hat offen gelassen, ob der Beklagten der Vorwurf grober Fahrlässigkeit zu machen ist, und ob dem Leasingunternehmen oder dem Versicherungsnehmer Ansprüche gegen die Beklagte zustanden (VersR 2007, 1405). Die Klägerin könne die Beklagte schon deswegen nicht in Regress nehmen, weil diese als Partnerin einer nichtehelichen Lebensgemeinschaft, deren tatsächliche Voraussetzungen unstreitig vorlägen, zumindest in analoger Anwendung des § 67 Abs. 2 VVG a.F. wie eine Familienangehörige des Versicherungsnehmers zu behandeln sei. Da auch eine häusliche Gemeinschaft bestanden und die Beklagte den Verkehrsunfall nicht vorsätzlich herbeigeführt habe, sei der Übergang eventuell bestehender Ansprüche ausgeschlossen.</w:t>
      </w:r>
    </w:p>
    <w:p w:rsidR="00E024DA" w:rsidRDefault="00E024DA" w:rsidP="00E024DA">
      <w:pPr>
        <w:spacing w:after="0" w:line="240" w:lineRule="auto"/>
        <w:jc w:val="both"/>
      </w:pPr>
    </w:p>
    <w:p w:rsidR="00E024DA" w:rsidRDefault="00E024DA" w:rsidP="00E024DA">
      <w:pPr>
        <w:spacing w:after="0" w:line="240" w:lineRule="auto"/>
        <w:jc w:val="both"/>
      </w:pPr>
      <w:r>
        <w:t>8</w:t>
      </w:r>
    </w:p>
    <w:p w:rsidR="00E024DA" w:rsidRDefault="00E024DA" w:rsidP="00E024DA">
      <w:pPr>
        <w:spacing w:after="0" w:line="240" w:lineRule="auto"/>
        <w:jc w:val="both"/>
      </w:pPr>
      <w:r>
        <w:t>II. Dies hält einer rechtlichen Nachprüfung nicht vollständig stand. Zwar geht das Berufungsgericht zutreffend davon aus, dass nichteheliche Lebensgemeinschaften in analoger Anwendung des § 67 Abs. 2 VVG a.F. einen Ausschluss des Forderungsübergangs begründen können. Vom Bestehen einer nichtehelichen Lebensgemeinschaft zwischen der Beklagten und dem Versicherungsnehmer durfte das Berufungsgericht indes nicht ohne Beweisaufnahme ausgehen.</w:t>
      </w:r>
    </w:p>
    <w:p w:rsidR="00E024DA" w:rsidRDefault="00E024DA" w:rsidP="00E024DA">
      <w:pPr>
        <w:spacing w:after="0" w:line="240" w:lineRule="auto"/>
        <w:jc w:val="both"/>
      </w:pPr>
    </w:p>
    <w:p w:rsidR="00E024DA" w:rsidRDefault="00E024DA" w:rsidP="00E024DA">
      <w:pPr>
        <w:spacing w:after="0" w:line="240" w:lineRule="auto"/>
        <w:jc w:val="both"/>
      </w:pPr>
      <w:r>
        <w:t>9</w:t>
      </w:r>
    </w:p>
    <w:p w:rsidR="00E024DA" w:rsidRDefault="00E024DA" w:rsidP="00E024DA">
      <w:pPr>
        <w:spacing w:after="0" w:line="240" w:lineRule="auto"/>
        <w:jc w:val="both"/>
      </w:pPr>
      <w:r>
        <w:t>1. § 67 Abs. 2 VVG a.F. ist analog auf Partner einer nichtehelichen Lebensgemeinschaft anwendbar; sie stehen insoweit "Familienangehörigen" im Sinne dieser Vorschrift gleich.</w:t>
      </w:r>
    </w:p>
    <w:p w:rsidR="00E024DA" w:rsidRDefault="00E024DA" w:rsidP="00E024DA">
      <w:pPr>
        <w:spacing w:after="0" w:line="240" w:lineRule="auto"/>
        <w:jc w:val="both"/>
      </w:pPr>
    </w:p>
    <w:p w:rsidR="00E024DA" w:rsidRDefault="00E024DA" w:rsidP="00E024DA">
      <w:pPr>
        <w:spacing w:after="0" w:line="240" w:lineRule="auto"/>
        <w:jc w:val="both"/>
      </w:pPr>
      <w:r>
        <w:t>10</w:t>
      </w:r>
    </w:p>
    <w:p w:rsidR="00E024DA" w:rsidRDefault="00E024DA" w:rsidP="00E024DA">
      <w:pPr>
        <w:spacing w:after="0" w:line="240" w:lineRule="auto"/>
        <w:jc w:val="both"/>
      </w:pPr>
      <w:r>
        <w:t xml:space="preserve">a) Ein einheitlicher Inhalt des Begriffs "Familienangehöriger" lässt sich aus der Gesetzessprache nicht herleiten. Er ist deshalb für jede Regelung mit Blick auf deren Sinn und Zweck unter Berücksichtigung des allgemeinen Sprachgebrauchs zu ermitteln (BGHZ 121, 116, 119; 102, 257, 259, jeweils </w:t>
      </w:r>
      <w:proofErr w:type="spellStart"/>
      <w:r>
        <w:t>m.w.N</w:t>
      </w:r>
      <w:proofErr w:type="spellEnd"/>
      <w:r>
        <w:t xml:space="preserve">.). Sinn und Zweck der Vorschrift des § 67 Abs. 2 VVG a.F. ist es, zu verhindern, dass der Versicherungsnehmer - oder der Versicherte - auf dem Umweg über einen Rückgriff gegen den in häuslicher Gemeinschaft lebenden Familienangehörigen selbst wirtschaftlich in Mitleidenschaft gezogen wird (Senatsurteile vom 5. März 2008 - IV ZR 89/07 - VersR 2008, 634 Tz. 9; vom 27. Oktober 1993 - IV ZR 33/93 - VersR 1994, 85 unter II 1, jeweils </w:t>
      </w:r>
      <w:proofErr w:type="spellStart"/>
      <w:r>
        <w:t>m.w.N</w:t>
      </w:r>
      <w:proofErr w:type="spellEnd"/>
      <w:r>
        <w:t xml:space="preserve">.). Darüber hinaus soll im Interesse des häuslichen Familienfriedens verhindert werden, dass Streitigkeiten über die Verantwortung von Schadenszufügungen gegen Familienangehörige ausgetragen werden (BGHZ 102, 257, 259). Der Begriff des Familienangehörigen i.S. des § 67 Abs. 2 VVG a.F. ist daher nicht auf Eheleute, Verwandte oder Verschwägerte im Rechtssinn beschränkt. Er kann auch Personen umfassen, die ohne familienrechtliche Verbindung, sei es aufgrund vertraglicher Vereinbarung oder auch rein tatsächlich, </w:t>
      </w:r>
      <w:r>
        <w:lastRenderedPageBreak/>
        <w:t>mit anderen in einer Weise zusammenleben, die einem Familienverband ähnlich ist und daher wegen der damit verbundenen wirtschaftlichen Zusammengehörigkeit den Schutz des § 67 Abs. 2 VVG a.F. erfordern (BGH, Urteil vom 15. Januar 1980 - VI ZR 181/78 - VersR 1980, 526 unter I 2 a).</w:t>
      </w:r>
    </w:p>
    <w:p w:rsidR="00E024DA" w:rsidRDefault="00E024DA" w:rsidP="00E024DA">
      <w:pPr>
        <w:spacing w:after="0" w:line="240" w:lineRule="auto"/>
        <w:jc w:val="both"/>
      </w:pPr>
    </w:p>
    <w:p w:rsidR="00E024DA" w:rsidRDefault="00E024DA" w:rsidP="00E024DA">
      <w:pPr>
        <w:spacing w:after="0" w:line="240" w:lineRule="auto"/>
        <w:jc w:val="both"/>
      </w:pPr>
      <w:r>
        <w:t>11</w:t>
      </w:r>
    </w:p>
    <w:p w:rsidR="00E024DA" w:rsidRDefault="00E024DA" w:rsidP="00E024DA">
      <w:pPr>
        <w:spacing w:after="0" w:line="240" w:lineRule="auto"/>
        <w:jc w:val="both"/>
      </w:pPr>
      <w:r>
        <w:t>b) Die Frage, ob § 67 Abs. 2 VVG a.F. auch Partner einer nichtehelichen Lebensgemeinschaft erfassen kann, wird in Rechtsprechung und Literatur unterschiedlich beantwortet.</w:t>
      </w:r>
    </w:p>
    <w:p w:rsidR="00E024DA" w:rsidRDefault="00E024DA" w:rsidP="00E024DA">
      <w:pPr>
        <w:spacing w:after="0" w:line="240" w:lineRule="auto"/>
        <w:jc w:val="both"/>
      </w:pPr>
    </w:p>
    <w:p w:rsidR="00E024DA" w:rsidRDefault="00E024DA" w:rsidP="00E024DA">
      <w:pPr>
        <w:spacing w:after="0" w:line="240" w:lineRule="auto"/>
        <w:jc w:val="both"/>
      </w:pPr>
      <w:r>
        <w:t>12</w:t>
      </w:r>
    </w:p>
    <w:p w:rsidR="00E024DA" w:rsidRDefault="00E024DA" w:rsidP="00E024DA">
      <w:pPr>
        <w:spacing w:after="0" w:line="240" w:lineRule="auto"/>
        <w:jc w:val="both"/>
      </w:pPr>
      <w:proofErr w:type="spellStart"/>
      <w:r>
        <w:t>aa</w:t>
      </w:r>
      <w:proofErr w:type="spellEnd"/>
      <w:r>
        <w:t>) In dem vorgenannten Urteil hat der Bundesgerichtshof dies noch ausdrücklich offen gelassen (</w:t>
      </w:r>
      <w:proofErr w:type="spellStart"/>
      <w:r>
        <w:t>aaO</w:t>
      </w:r>
      <w:proofErr w:type="spellEnd"/>
      <w:r>
        <w:t xml:space="preserve"> unter II 2 a </w:t>
      </w:r>
      <w:proofErr w:type="spellStart"/>
      <w:r>
        <w:t>aa</w:t>
      </w:r>
      <w:proofErr w:type="spellEnd"/>
      <w:r>
        <w:t>). Mit Urteil vom 1. Dezember 1987 hat er eine Erstreckung des Familienprivilegs des § 116 Abs. 6 SGB X auf die Partner einer eheähnlichen Lebensgemeinschaft ausdrücklich abgelehnt, da eine solche Ausdehnung dieser Vorschrift in der praktischen Rechtsanwendung zu Unsicherheiten führen würde, die wegen des nicht nur in der Privatversicherung, sondern auch in der Sozialversicherung besonders großen Bedürfnisses nach Berechenbarkeit und leicht feststellbaren, typisierenden und pauschalierenden Tatbeständen nicht hinnehmbar erschienen. Zwar möchten Sachgründe ausreichen, eine analoge Anwendung des Familienprivilegs auf die Lebensgemeinschaft von Mann und Frau etwa wegen herausgehobener Ähnlichkeit mit einer ehelichen Lebensgemeinschaft zu begrenzen. Dabei wäre aber eine Eingrenzung auf solche Lebensgemeinschaften geboten, die bereits eine gewisse Verfestigung gefunden hätten, die sich insbesondere in dem Grad der Verknüpfung der Lebenssphären beider Partner und ihrer Anlage auf Dauer ausdrücke. Selbst wenn sich hierfür sachangemessene Maßstäbe finden ließen, müssten diese derart der jeweiligen individuellen, konkreten Lebensgestaltung verbunden sein, dass die hier notwendige typisierende und pauschalierende Ausgrenzung nicht möglich wäre. Abgesehen davon, dass die Betroffenen hierdurch zu Offenbarungen gezwungen würden, die ihren Eigenbereich - wenn nicht sogar ihre Intimsphäre - berühren würden, wäre der Beweiswert ihrer Bekundungen angesichts der Konfliktsituation, in der sie sich befänden, in besonderem Maße fragwürdig (BGHZ 102, 257, 263 f.).</w:t>
      </w:r>
    </w:p>
    <w:p w:rsidR="00E024DA" w:rsidRDefault="00E024DA" w:rsidP="00E024DA">
      <w:pPr>
        <w:spacing w:after="0" w:line="240" w:lineRule="auto"/>
        <w:jc w:val="both"/>
      </w:pPr>
    </w:p>
    <w:p w:rsidR="00E024DA" w:rsidRDefault="00E024DA" w:rsidP="00E024DA">
      <w:pPr>
        <w:spacing w:after="0" w:line="240" w:lineRule="auto"/>
        <w:jc w:val="both"/>
      </w:pPr>
      <w:r>
        <w:t>13</w:t>
      </w:r>
    </w:p>
    <w:p w:rsidR="00E024DA" w:rsidRDefault="00E024DA" w:rsidP="00E024DA">
      <w:pPr>
        <w:spacing w:after="0" w:line="240" w:lineRule="auto"/>
        <w:jc w:val="both"/>
      </w:pPr>
      <w:r>
        <w:t>Dagegen hat der Bundesgerichtshof die analoge Anwendung anderer Vorschriften auf Partner einer eheähnlichen (Lebens-)Gemeinschaft bejaht, so für das Eintrittsrecht nach § 569a BGB a.F. (BGHZ 121, 116, 121 ff.), die Ersatzzustellung nach § 181 Abs. 1 ZPO a.F. (BGHZ 111, 1, 3 ff.) und das Recht des Inhabers eines dinglichen Wohnrechts zur Aufnahme seiner Familie nach § 1093 Abs. 2 BGB (BGHZ 84, 36, 38 ff.). Die Anwendung der Miteigentumsvermutung des § 1362 Abs. 1 Satz 1 BGB auf nichteheliche Lebensgemeinschaften hat er indes verneint (BGHZ 170, 187 Tz. 11 ff.).</w:t>
      </w:r>
    </w:p>
    <w:p w:rsidR="00E024DA" w:rsidRDefault="00E024DA" w:rsidP="00E024DA">
      <w:pPr>
        <w:spacing w:after="0" w:line="240" w:lineRule="auto"/>
        <w:jc w:val="both"/>
      </w:pPr>
    </w:p>
    <w:p w:rsidR="00E024DA" w:rsidRDefault="00E024DA" w:rsidP="00E024DA">
      <w:pPr>
        <w:spacing w:after="0" w:line="240" w:lineRule="auto"/>
        <w:jc w:val="both"/>
      </w:pPr>
      <w:r>
        <w:t>14</w:t>
      </w:r>
    </w:p>
    <w:p w:rsidR="00E024DA" w:rsidRDefault="00E024DA" w:rsidP="00E024DA">
      <w:pPr>
        <w:spacing w:after="0" w:line="240" w:lineRule="auto"/>
        <w:jc w:val="both"/>
      </w:pPr>
      <w:proofErr w:type="spellStart"/>
      <w:r>
        <w:t>bb</w:t>
      </w:r>
      <w:proofErr w:type="spellEnd"/>
      <w:r>
        <w:t>) In der Zeit nach Erlass des Urteils des Bundesgerichtshofs vom 1. Dezember 1987 (</w:t>
      </w:r>
      <w:proofErr w:type="spellStart"/>
      <w:r>
        <w:t>aaO</w:t>
      </w:r>
      <w:proofErr w:type="spellEnd"/>
      <w:r>
        <w:t xml:space="preserve">) hat das Bundesverfassungsgericht wiederholt zu nichtehelichen Lebensgemeinschaften Stellung genommen (BVerfGE 112, 50; 106, 166; 87, 234; 82, 6) und dabei bestätigt, dass insbesondere Art. 6 Abs. 1 GG einer Einbeziehung der Partner in den Schutzbereich von Vorschriften, die den Schutz der "Familie" bezwecken, nicht entgegenstehe (BVerfGE 82, 6, 15). Vielmehr könne wegen Art. 3 Abs. 1 GG i.V. mit Art. 6 Abs. 1 GG eine Gleichbehandlung von nichtehelichen Lebensgemeinschaften mit Ehepaaren sogar geboten sein (BVerfGE 112, 50, 67 ff.; 106, 166, 176 ff.). Eine begriffliche Konkretisierung erhielt die "eheähnliche Gemeinschaft" dabei als eine Lebensgemeinschaft im Sinne einer Verantwortungsgemeinschaft zwischen einem Mann und einer Frau, die auf Dauer angelegt ist, daneben keine weitere Lebensgemeinschaft gleicher Art zulässt und sich durch Bindungen auszeichnet, die ein gegenseitiges Einstehen der Partner füreinander begründen, also über die Beziehungen in einer reinen Haushalts- und Wirtschaftsgemeinschaft hinausgehen. Dies lasse sich anhand von Indizien feststellen, wie etwa die lange Dauer des Zusammenlebens, die Versorgung von Kindern und Angehörigen im gemeinsamen Haushalt und die Befugnis, über Einkommen und Vermögensgegenstände des anderen Partners zu verfügen (BVerfGE 87, 234, 264 f.). Dieses </w:t>
      </w:r>
      <w:r>
        <w:lastRenderedPageBreak/>
        <w:t xml:space="preserve">Verständnis der eheähnlichen Gemeinschaft hat sich durchgesetzt (vgl. etwa BGHZ 121, 116, 124; </w:t>
      </w:r>
      <w:proofErr w:type="spellStart"/>
      <w:r>
        <w:t>BVerwGE</w:t>
      </w:r>
      <w:proofErr w:type="spellEnd"/>
      <w:r>
        <w:t xml:space="preserve"> 98, 195; BSGE 72, 125, 127), in neuerer Zeit allerdings unter der Bezeichnung "nichtehelich geführte Lebensgemeinschaft" (BGHZ 176, 262 Tz. 25; BGH, Urteil vom 31. Oktober 2007 - XII ZR 261/04 - NJW 2008, 443 Tz. 14).</w:t>
      </w:r>
    </w:p>
    <w:p w:rsidR="00E024DA" w:rsidRDefault="00E024DA" w:rsidP="00E024DA">
      <w:pPr>
        <w:spacing w:after="0" w:line="240" w:lineRule="auto"/>
        <w:jc w:val="both"/>
      </w:pPr>
    </w:p>
    <w:p w:rsidR="00E024DA" w:rsidRDefault="00E024DA" w:rsidP="00E024DA">
      <w:pPr>
        <w:spacing w:after="0" w:line="240" w:lineRule="auto"/>
        <w:jc w:val="both"/>
      </w:pPr>
      <w:r>
        <w:t>15</w:t>
      </w:r>
    </w:p>
    <w:p w:rsidR="00E024DA" w:rsidRDefault="00E024DA" w:rsidP="00E024DA">
      <w:pPr>
        <w:spacing w:after="0" w:line="240" w:lineRule="auto"/>
        <w:jc w:val="both"/>
      </w:pPr>
      <w:r>
        <w:t xml:space="preserve">cc) In der Rechtsprechung der Oberlandesgerichte wurde eine Erweiterung des Schutzes des § 67 Abs. 2 VVG a.F. auf nichteheliche Lebensgemeinschaften bislang überwiegend abgelehnt (vgl. OLG Koblenz VersR 2003, 1381 ff.; OLG Hamm </w:t>
      </w:r>
      <w:proofErr w:type="spellStart"/>
      <w:r>
        <w:t>RuS</w:t>
      </w:r>
      <w:proofErr w:type="spellEnd"/>
      <w:r>
        <w:t xml:space="preserve"> 1999, 470, 471 und VersR 1993, 1513; OLG Frankfurt MDR 1998, 1163, 1164 und VersR 1997, 561 f.; OLG Köln VersR 1991, 1237; OLG München NJW-RR 1988, 34 f.; OLG Schleswig VersR 1979, 669). In einigen Entscheidungen aus jüngerer Zeit ist der Schutzbereich des § 67 Abs. 2 VVG auf nichteheliche Lebensgemeinschaften - zumindest solche mit Kindern - erweitert worden (OLG Brandenburg VersR 2002, 839, 840 f.; mit entsprechender Tendenz auch OLG Rostock NJW-RR 2008, 694, 695 zu § 116 Abs. 6 SGB X; zuvor bereits LG Potsdam VersR 1997, 93 f.; LG Saarbrücken VersR 1995, 158 f.; AG München </w:t>
      </w:r>
      <w:proofErr w:type="spellStart"/>
      <w:r>
        <w:t>FamRZ</w:t>
      </w:r>
      <w:proofErr w:type="spellEnd"/>
      <w:r>
        <w:t xml:space="preserve"> 1982, 65). Der österreichische OGH hat nichteheliche Lebensgemeinschaften - bestehend aus zwei Personen verschiedenen Geschlechts, die eine in wirtschaftlicher Hinsicht gleich einer Ehe eingerichtete Haushaltsgemeinschaft bilden - dagegen schon vor längerer Zeit in den Schutzbereich der inhaltsgleichen österreichischen Vorschrift miteinbezogen (VersR 1989, 830, 831).</w:t>
      </w:r>
    </w:p>
    <w:p w:rsidR="00E024DA" w:rsidRDefault="00E024DA" w:rsidP="00E024DA">
      <w:pPr>
        <w:spacing w:after="0" w:line="240" w:lineRule="auto"/>
        <w:jc w:val="both"/>
      </w:pPr>
    </w:p>
    <w:p w:rsidR="00E024DA" w:rsidRDefault="00E024DA" w:rsidP="00E024DA">
      <w:pPr>
        <w:spacing w:after="0" w:line="240" w:lineRule="auto"/>
        <w:jc w:val="both"/>
      </w:pPr>
      <w:r>
        <w:t>16</w:t>
      </w:r>
    </w:p>
    <w:p w:rsidR="00E024DA" w:rsidRDefault="00E024DA" w:rsidP="00E024DA">
      <w:pPr>
        <w:spacing w:after="0" w:line="240" w:lineRule="auto"/>
        <w:jc w:val="both"/>
      </w:pPr>
      <w:proofErr w:type="spellStart"/>
      <w:r>
        <w:t>dd</w:t>
      </w:r>
      <w:proofErr w:type="spellEnd"/>
      <w:r>
        <w:t xml:space="preserve">) Auch das Schrifttum spricht sich inzwischen überwiegend für eine solche Einbeziehung aus (Prölss/Martin, VVG 27. Aufl. § 67 </w:t>
      </w:r>
      <w:proofErr w:type="spellStart"/>
      <w:r>
        <w:t>Rdn</w:t>
      </w:r>
      <w:proofErr w:type="spellEnd"/>
      <w:r>
        <w:t>. 37; Staudinger/</w:t>
      </w:r>
      <w:proofErr w:type="spellStart"/>
      <w:r>
        <w:t>Löhning</w:t>
      </w:r>
      <w:proofErr w:type="spellEnd"/>
      <w:r>
        <w:t xml:space="preserve"> [2007] </w:t>
      </w:r>
      <w:proofErr w:type="spellStart"/>
      <w:r>
        <w:t>Anh</w:t>
      </w:r>
      <w:proofErr w:type="spellEnd"/>
      <w:r>
        <w:t xml:space="preserve"> zu §§ 1297 ff. </w:t>
      </w:r>
      <w:proofErr w:type="spellStart"/>
      <w:r>
        <w:t>Rdn</w:t>
      </w:r>
      <w:proofErr w:type="spellEnd"/>
      <w:r>
        <w:t>. 255; Staudinger/</w:t>
      </w:r>
      <w:proofErr w:type="spellStart"/>
      <w:r>
        <w:t>Strätz</w:t>
      </w:r>
      <w:proofErr w:type="spellEnd"/>
      <w:r>
        <w:t xml:space="preserve"> [2000] </w:t>
      </w:r>
      <w:proofErr w:type="spellStart"/>
      <w:r>
        <w:t>Anh</w:t>
      </w:r>
      <w:proofErr w:type="spellEnd"/>
      <w:r>
        <w:t xml:space="preserve">. zu §§ 1297 ff. </w:t>
      </w:r>
      <w:proofErr w:type="spellStart"/>
      <w:r>
        <w:t>Rdn</w:t>
      </w:r>
      <w:proofErr w:type="spellEnd"/>
      <w:r>
        <w:t xml:space="preserve">. 226; </w:t>
      </w:r>
      <w:proofErr w:type="spellStart"/>
      <w:r>
        <w:t>MünchKomm</w:t>
      </w:r>
      <w:proofErr w:type="spellEnd"/>
      <w:r>
        <w:t xml:space="preserve">-BGB/Wacke 4. Aufl. Nach § 1302 </w:t>
      </w:r>
      <w:proofErr w:type="spellStart"/>
      <w:r>
        <w:t>Rdn</w:t>
      </w:r>
      <w:proofErr w:type="spellEnd"/>
      <w:r>
        <w:t xml:space="preserve">. 25; Dahm, NZV 2008, 280 f. [Anmerkung zum Berufungsurteil]; Jahnke, NZV 2008, 57 ff. und MDR 2005, 668, 669; Lang, </w:t>
      </w:r>
      <w:proofErr w:type="spellStart"/>
      <w:r>
        <w:t>jurisPR-VerkR</w:t>
      </w:r>
      <w:proofErr w:type="spellEnd"/>
      <w:r>
        <w:t xml:space="preserve"> 2/2008 Anm. 5 unter D 2; Schirmer, DAR 2007, 2, 4 ff. sowie bereits DAR 1988, 289, 292 ff. und </w:t>
      </w:r>
      <w:proofErr w:type="spellStart"/>
      <w:r>
        <w:t>ZVersWiss</w:t>
      </w:r>
      <w:proofErr w:type="spellEnd"/>
      <w:r>
        <w:t xml:space="preserve"> 1988, 139, 168 ff.; Knappmann, VRR 2007, 4 f.; Moritz, JA 2002, 829, 831; </w:t>
      </w:r>
      <w:proofErr w:type="spellStart"/>
      <w:r>
        <w:t>Röthel</w:t>
      </w:r>
      <w:proofErr w:type="spellEnd"/>
      <w:r>
        <w:t xml:space="preserve">, NZV 2001, 329, 331 f.; Groß, DAR 1999, 337, 339 f.; </w:t>
      </w:r>
      <w:proofErr w:type="spellStart"/>
      <w:r>
        <w:t>Kohte</w:t>
      </w:r>
      <w:proofErr w:type="spellEnd"/>
      <w:r>
        <w:t xml:space="preserve">, NZV 1991, 89, 92 ff.; Knoche, </w:t>
      </w:r>
      <w:proofErr w:type="spellStart"/>
      <w:r>
        <w:t>StAZ</w:t>
      </w:r>
      <w:proofErr w:type="spellEnd"/>
      <w:r>
        <w:t xml:space="preserve"> 1989, 40, 41 f. und MDR 1988, 743 ff; </w:t>
      </w:r>
      <w:proofErr w:type="spellStart"/>
      <w:r>
        <w:t>Striewe</w:t>
      </w:r>
      <w:proofErr w:type="spellEnd"/>
      <w:r>
        <w:t xml:space="preserve">, NJW 1988, 1093 f. zu § 116 Abs. 6 SGB X: </w:t>
      </w:r>
      <w:proofErr w:type="spellStart"/>
      <w:r>
        <w:t>Bieresborn</w:t>
      </w:r>
      <w:proofErr w:type="spellEnd"/>
      <w:r>
        <w:t xml:space="preserve"> in von </w:t>
      </w:r>
      <w:proofErr w:type="spellStart"/>
      <w:r>
        <w:t>Wulfen</w:t>
      </w:r>
      <w:proofErr w:type="spellEnd"/>
      <w:r>
        <w:t xml:space="preserve">, SGB X 5. Aufl. § 116 </w:t>
      </w:r>
      <w:proofErr w:type="spellStart"/>
      <w:r>
        <w:t>Rdn</w:t>
      </w:r>
      <w:proofErr w:type="spellEnd"/>
      <w:r>
        <w:t>. 35; Schmalz in Schroeder-</w:t>
      </w:r>
      <w:proofErr w:type="spellStart"/>
      <w:r>
        <w:t>Printzen</w:t>
      </w:r>
      <w:proofErr w:type="spellEnd"/>
      <w:r>
        <w:t xml:space="preserve">, SGB X 3. Aufl. § 116 </w:t>
      </w:r>
      <w:proofErr w:type="spellStart"/>
      <w:r>
        <w:t>Rdn</w:t>
      </w:r>
      <w:proofErr w:type="spellEnd"/>
      <w:r>
        <w:t xml:space="preserve">. 35; </w:t>
      </w:r>
      <w:proofErr w:type="spellStart"/>
      <w:r>
        <w:t>a.A</w:t>
      </w:r>
      <w:proofErr w:type="spellEnd"/>
      <w:r>
        <w:t>.: Römer/</w:t>
      </w:r>
      <w:proofErr w:type="spellStart"/>
      <w:r>
        <w:t>Langheid</w:t>
      </w:r>
      <w:proofErr w:type="spellEnd"/>
      <w:r>
        <w:t xml:space="preserve">, VVG 2. Aufl. § 67 </w:t>
      </w:r>
      <w:proofErr w:type="spellStart"/>
      <w:r>
        <w:t>Rdn</w:t>
      </w:r>
      <w:proofErr w:type="spellEnd"/>
      <w:r>
        <w:t xml:space="preserve">. 51; Stiefel/Hofmann, Kraftfahrtversicherung 17. Aufl. VVG § 67 </w:t>
      </w:r>
      <w:proofErr w:type="spellStart"/>
      <w:r>
        <w:t>Rdn</w:t>
      </w:r>
      <w:proofErr w:type="spellEnd"/>
      <w:r>
        <w:t xml:space="preserve">. 52; Plagemann, </w:t>
      </w:r>
      <w:proofErr w:type="spellStart"/>
      <w:r>
        <w:t>EWiR</w:t>
      </w:r>
      <w:proofErr w:type="spellEnd"/>
      <w:r>
        <w:t xml:space="preserve"> 1988, 503 f.; Bosch, VersR 1989, 1327 f. und </w:t>
      </w:r>
      <w:proofErr w:type="spellStart"/>
      <w:r>
        <w:t>FamRZ</w:t>
      </w:r>
      <w:proofErr w:type="spellEnd"/>
      <w:r>
        <w:t xml:space="preserve"> 1988, 394 ff.; Weber, DAR 1985, 1, 4 ff.; </w:t>
      </w:r>
      <w:proofErr w:type="spellStart"/>
      <w:r>
        <w:t>Gotthart</w:t>
      </w:r>
      <w:proofErr w:type="spellEnd"/>
      <w:r>
        <w:t xml:space="preserve">, </w:t>
      </w:r>
      <w:proofErr w:type="spellStart"/>
      <w:r>
        <w:t>FamRZ</w:t>
      </w:r>
      <w:proofErr w:type="spellEnd"/>
      <w:r>
        <w:t xml:space="preserve"> 1980, 17 ff.; zu § 116 Abs. 6 SGB X: Plagemann in </w:t>
      </w:r>
      <w:proofErr w:type="spellStart"/>
      <w:r>
        <w:t>Geigel</w:t>
      </w:r>
      <w:proofErr w:type="spellEnd"/>
      <w:r>
        <w:t xml:space="preserve">, Der Haftpflichtprozess 24. Aufl. 30. Kapitel </w:t>
      </w:r>
      <w:proofErr w:type="spellStart"/>
      <w:r>
        <w:t>Rdn</w:t>
      </w:r>
      <w:proofErr w:type="spellEnd"/>
      <w:r>
        <w:t xml:space="preserve">. 78; Pickel, SGB X [April 1995] § 116 SGB X </w:t>
      </w:r>
      <w:proofErr w:type="spellStart"/>
      <w:r>
        <w:t>Rdn</w:t>
      </w:r>
      <w:proofErr w:type="spellEnd"/>
      <w:r>
        <w:t>. 71). Eine Einbeziehung empfohlen haben auch der 57. Deutsche Juristentag (Beschlüsse abgedruckt in NJW 1988, 2998 unter III 15b, zu § 116 Abs. 6 SGB X) und der 45. Deutsche Verkehrsgerichtstag 2007 (Empfehlung Nr. 1 des Arbeitskreises I).</w:t>
      </w:r>
    </w:p>
    <w:p w:rsidR="00E024DA" w:rsidRDefault="00E024DA" w:rsidP="00E024DA">
      <w:pPr>
        <w:spacing w:after="0" w:line="240" w:lineRule="auto"/>
        <w:jc w:val="both"/>
      </w:pPr>
    </w:p>
    <w:p w:rsidR="00E024DA" w:rsidRDefault="00E024DA" w:rsidP="00E024DA">
      <w:pPr>
        <w:spacing w:after="0" w:line="240" w:lineRule="auto"/>
        <w:jc w:val="both"/>
      </w:pPr>
      <w:r>
        <w:t>17</w:t>
      </w:r>
    </w:p>
    <w:p w:rsidR="00E024DA" w:rsidRDefault="00E024DA" w:rsidP="00E024DA">
      <w:pPr>
        <w:spacing w:after="0" w:line="240" w:lineRule="auto"/>
        <w:jc w:val="both"/>
      </w:pPr>
      <w:r>
        <w:t>c) Mit dem Berufungsgericht und dem überwiegenden Teil des neueren Schrifttums hält der Senat eine Erstreckung des Schutzbereichs des § 67 Abs. 2 VVG auf Partner nichtehelicher Lebensgemeinschaften, wie sie durch die genannte Rechtsprechung (insbesondere BVerfGE 87, 234, 264 f.) konkretisiert wurden, in den Schutzbereich des § 67 Abs. 2 VVG a.F. für sowohl zulässig als auch geboten. Die Vorschrift ist insofern inhaltsgleich mit § 116 Abs. 6 Satz 1 SGB X (vgl. BGHZ 102, 257, 259; BGH, Urteil vom 15. Januar 1980 - VI ZR 181/78 - VersR 1980, 526 unter I 1). Der für die Entscheidung BGHZ 102, 257 tragenden Auffassung, nichtehelichen Lebensgemeinschaften das Familienprivileg wegen Abgrenzungs- und Beweisschwierigkeiten versagen zu müssen, schließt sich der Senat nicht an. Der für die Auslegung des § 116 Abs. 6 SGB X primär zuständige VI. Zivilsenat hat auf Anfrage erklärt, daran ebenfalls nicht mehr festhalten zu wollen.</w:t>
      </w:r>
    </w:p>
    <w:p w:rsidR="00E024DA" w:rsidRDefault="00E024DA" w:rsidP="00E024DA">
      <w:pPr>
        <w:spacing w:after="0" w:line="240" w:lineRule="auto"/>
        <w:jc w:val="both"/>
      </w:pPr>
    </w:p>
    <w:p w:rsidR="00E024DA" w:rsidRDefault="00E024DA" w:rsidP="00E024DA">
      <w:pPr>
        <w:spacing w:after="0" w:line="240" w:lineRule="auto"/>
        <w:jc w:val="both"/>
      </w:pPr>
      <w:r>
        <w:t>18</w:t>
      </w:r>
    </w:p>
    <w:p w:rsidR="00E024DA" w:rsidRDefault="00E024DA" w:rsidP="00E024DA">
      <w:pPr>
        <w:spacing w:after="0" w:line="240" w:lineRule="auto"/>
        <w:jc w:val="both"/>
      </w:pPr>
      <w:proofErr w:type="spellStart"/>
      <w:r>
        <w:t>aa</w:t>
      </w:r>
      <w:proofErr w:type="spellEnd"/>
      <w:r>
        <w:t xml:space="preserve">) Offenbleiben kann, ob Partner einer nichtehelichen Lebensgemeinschaft schon im Wortsinne als Familienangehörige begriffen werden können (ebenso BGHZ 84, 36, 38; dies verneinend BGHZ 121, </w:t>
      </w:r>
      <w:r>
        <w:lastRenderedPageBreak/>
        <w:t xml:space="preserve">116, 119; 111, 1, 4 f.; 102, 257, 261). Die Vergleichbarkeit der Schutzwürdigkeit erfordert zumindest eine analoge Anwendung. In einer nichtehelichen Lebensgemeinschaft, für die gemeinsame Mittelaufbringung und Mittelverwendung prägende Merkmale sind, trifft die Inanspruchnahme des Partners den Versicherungsnehmer wirtschaftlich nicht minder als in einer Ehe. Der häusliche Friede zwischen Partnern nichtehelicher Lebensgemeinschaften kann durch zwischen diesen auszutragende Streitigkeiten über die Verantwortung für Schadenszufügungen in gleicher Weise gestört werden wie bei Ehegatten. Eine - im Wege der Analogie auszufüllende - Gesetzeslücke ist hier anzunehmen, weil der historische Gesetzgeber des VVG im Jahr 1908 nicht vorhersehen konnte, in welchem Ausmaß nichteheliche Lebensgemeinschaften in späteren Zeiten praktiziert und weithin respektiert werden würden (vgl. BGHZ </w:t>
      </w:r>
      <w:proofErr w:type="spellStart"/>
      <w:r>
        <w:t>aaO</w:t>
      </w:r>
      <w:proofErr w:type="spellEnd"/>
      <w:r>
        <w:t xml:space="preserve">). Die tatsächliche und rechtliche Entwicklung hat die ursprünglich vollständige Regelung lückenhaft, ergänzungsbedürftig und zugleich ergänzungsfähig werden lassen (vgl. BVerfGE 82, 6, 12). Dem steht auch nicht entgegen, dass der Gesetzgeber bei der Schaffung des § 116 Abs. 6 SGB X im Jahr 1983 die Frage der Einbeziehung eheähnlicher Gemeinschaften sehenden Auges nicht aufgegriffen hat, obwohl die diesbezügliche soziale und juristische Problematik zu diesem Zeitpunkt bereits in der Diskussion war (vgl. BGHZ 102, 257, 261 f.). Verallgemeinerungsfähige Rückschlüsse, die für oder gegen eine Einbeziehung sprächen, lassen sich diesem Schweigen nicht entnehmen, weshalb jedenfalls die Möglichkeit einer analogen Anwendung offen blieb (ebenso BGHZ </w:t>
      </w:r>
      <w:proofErr w:type="spellStart"/>
      <w:r>
        <w:t>aaO</w:t>
      </w:r>
      <w:proofErr w:type="spellEnd"/>
      <w:r>
        <w:t xml:space="preserve"> S. 262). Der Gesetzgeber des im Jahre 2008 in Kraft getretenen VVG hat durch die Streichung des Erfordernisses der Familienangehörigkeit in § 86 Abs. 3 VVG n.F. zum Ausdruck gebracht, dass insoweit eine Änderung geboten war; die Beschränkung auf Familienangehörige in häuslicher Gemeinschaft entspreche nicht mehr den heutigen gesellschaftlichen Verhältnissen (BT-Drucks. 16/3945 S. 82).</w:t>
      </w:r>
    </w:p>
    <w:p w:rsidR="00E024DA" w:rsidRDefault="00E024DA" w:rsidP="00E024DA">
      <w:pPr>
        <w:spacing w:after="0" w:line="240" w:lineRule="auto"/>
        <w:jc w:val="both"/>
      </w:pPr>
    </w:p>
    <w:p w:rsidR="00E024DA" w:rsidRDefault="00E024DA" w:rsidP="00E024DA">
      <w:pPr>
        <w:spacing w:after="0" w:line="240" w:lineRule="auto"/>
        <w:jc w:val="both"/>
      </w:pPr>
      <w:r>
        <w:t>19</w:t>
      </w:r>
    </w:p>
    <w:p w:rsidR="00E024DA" w:rsidRDefault="00E024DA" w:rsidP="00E024DA">
      <w:pPr>
        <w:spacing w:after="0" w:line="240" w:lineRule="auto"/>
        <w:jc w:val="both"/>
      </w:pPr>
      <w:proofErr w:type="spellStart"/>
      <w:r>
        <w:t>bb</w:t>
      </w:r>
      <w:proofErr w:type="spellEnd"/>
      <w:r>
        <w:t>) Höherrangiges Recht, insbesondere Art. 6 Abs. 1 GG, steht einer Einbeziehung nicht entgegen. Der Institutionsschutz von Ehe und Familie verpflichtet nicht dazu, nichtehelichen Lebensgemeinschaften jedwede rechtliche Anerkennung zu versagen und sie - etwa durch Entziehung ihrer materiellen Grundlagen - zu bekämpfen (vgl. BVerfGE 82, 6, 15; 9, 20, 34 f.).</w:t>
      </w:r>
    </w:p>
    <w:p w:rsidR="00E024DA" w:rsidRDefault="00E024DA" w:rsidP="00E024DA">
      <w:pPr>
        <w:spacing w:after="0" w:line="240" w:lineRule="auto"/>
        <w:jc w:val="both"/>
      </w:pPr>
    </w:p>
    <w:p w:rsidR="00E024DA" w:rsidRDefault="00E024DA" w:rsidP="00E024DA">
      <w:pPr>
        <w:spacing w:after="0" w:line="240" w:lineRule="auto"/>
        <w:jc w:val="both"/>
      </w:pPr>
      <w:r>
        <w:t>20</w:t>
      </w:r>
    </w:p>
    <w:p w:rsidR="00E024DA" w:rsidRDefault="00E024DA" w:rsidP="00E024DA">
      <w:pPr>
        <w:spacing w:after="0" w:line="240" w:lineRule="auto"/>
        <w:jc w:val="both"/>
      </w:pPr>
      <w:r>
        <w:t>Die Abgrenzungsschwierigkeiten, die für die Entscheidung BGHZ 102, 259 noch ausschlaggebend waren, können mit Blick auf die Rechtsprechung des Bundesverfassungsgerichts und die weite Akzeptanz des darin herausgearbeiteten Begriffs der nichtehelichen Lebensgemeinschaft als ausgeräumt betrachtet werden. Zumindest Gemeinschaften dieser Art verdienen auch den Schutz des § 67 Abs. 2 VVG a.F. Beweiserhebungen, die die Privatsphäre der Beteiligten wesentlich stärker berühren könnten als etwa bei der Prüfung des Bestehens einer häuslichen Gemeinschaft, sind nicht erforderlich. Wie auch in anderen Fallgestaltungen, in denen Zeugen ein eigenes Interesse an der Entscheidung des Rechtsstreits haben können, ist hinzunehmen, dass der Beweiswert etwa der Angaben des Partners wegen einer möglichen Konfliktsituation zweifelhaft sein kann. Dem ist im Rahmen der tatrichterlichen Überzeugungsbildung gemäß § 286 ZPO entsprechend Rechnung zu tragen.</w:t>
      </w:r>
    </w:p>
    <w:p w:rsidR="00E024DA" w:rsidRDefault="00E024DA" w:rsidP="00E024DA">
      <w:pPr>
        <w:spacing w:after="0" w:line="240" w:lineRule="auto"/>
        <w:jc w:val="both"/>
      </w:pPr>
    </w:p>
    <w:p w:rsidR="00E024DA" w:rsidRDefault="00E024DA" w:rsidP="00E024DA">
      <w:pPr>
        <w:spacing w:after="0" w:line="240" w:lineRule="auto"/>
        <w:jc w:val="both"/>
      </w:pPr>
      <w:r>
        <w:t>21</w:t>
      </w:r>
    </w:p>
    <w:p w:rsidR="00E024DA" w:rsidRDefault="00E024DA" w:rsidP="00E024DA">
      <w:pPr>
        <w:spacing w:after="0" w:line="240" w:lineRule="auto"/>
        <w:jc w:val="both"/>
      </w:pPr>
      <w:r>
        <w:t>2. Die Voraussetzungen einer nichtehelichen Lebensgemeinschaft durfte das Berufungsgericht nach dem Streitstand allerdings nicht als gegeben erachten.</w:t>
      </w:r>
    </w:p>
    <w:p w:rsidR="00E024DA" w:rsidRDefault="00E024DA" w:rsidP="00E024DA">
      <w:pPr>
        <w:spacing w:after="0" w:line="240" w:lineRule="auto"/>
        <w:jc w:val="both"/>
      </w:pPr>
    </w:p>
    <w:p w:rsidR="00E024DA" w:rsidRDefault="00E024DA" w:rsidP="00E024DA">
      <w:pPr>
        <w:spacing w:after="0" w:line="240" w:lineRule="auto"/>
        <w:jc w:val="both"/>
      </w:pPr>
      <w:r>
        <w:t>22</w:t>
      </w:r>
    </w:p>
    <w:p w:rsidR="00E024DA" w:rsidRDefault="00E024DA" w:rsidP="00E024DA">
      <w:pPr>
        <w:spacing w:after="0" w:line="240" w:lineRule="auto"/>
        <w:jc w:val="both"/>
      </w:pPr>
      <w:r>
        <w:t xml:space="preserve">a) Das Berufungsurteil enthält im unstreitigen Teil des Tatbestands die Feststellungen, dass der Versicherungsnehmer der Lebensgefährte der Beklagten sei, mit dieser seit Jahren einen gemeinsamen Hausstand führe und ein im Jahr 1999 geborenes gemeinsames Kind aufziehe. Dabei handelt es sich lediglich um einzelne - wenn auch bedeutsame - Indizien für das Vorliegen einer nichtehelichen Lebensgemeinschaft. Diese Umstände genügen jedoch für sich allein nicht, um eine nichteheliche Lebensgemeinschaft im Sinne der genannten Definition annehmen zu können. </w:t>
      </w:r>
      <w:r>
        <w:lastRenderedPageBreak/>
        <w:t>Insbesondere fehlt jegliche Feststellung zur gemeinsamen Mittelaufbringung und Mittelverwendung, die aber gerade für den Schutz des § 67 Abs. 2 VVG a.F. ausschlaggebend ist. Zwar hat die Beklagte diesbezüglich Tatsachen behauptet, die die Annahme einer nichtehelichen Lebensgemeinschaft rechtfertigen könnten, und hierfür Beweis angeboten. So hat sie insbesondere ausgeführt, bereits seit dem Jahr 1989 einen gemeinsamen Haushalt mit dem Versicherungsnehmer zu führen, der von Beginn an gemeinschaftlich aus den Einkommen beider Lebensgefährten finanziert werde, die wirtschaftlich nicht getrennt würden. Zudem hätten sie bereits im Jahr 1997 ein gemeinsames Darlehen zur Finanzierung eines gemeinsamen Eigenheims aufgenommen, das gemeinsam zurückgezahlt werde. Hätte sich das Berufungsgericht auf diese Indizien stützen dürfen, so hätte es im Rahmen einer Gesamtwürdigung fehlerfrei zur Annahme einer nichtehelichen Lebensgemeinschaft kommen können. Indes hat die Klägerin bereits in erster Instanz bestritten, dass die Beklagte und der Versicherungsnehmer seit 1989 in einer nichtehelichen Lebensgemeinschaft lebten und der Lebensunterhalt gemeinsam bestritten werde. In der Berufungserwiderung hat sich die Klägerin auf den gesamten erstinstanzlichen Vortrag bezogen.</w:t>
      </w:r>
    </w:p>
    <w:p w:rsidR="00E024DA" w:rsidRDefault="00E024DA" w:rsidP="00E024DA">
      <w:pPr>
        <w:spacing w:after="0" w:line="240" w:lineRule="auto"/>
        <w:jc w:val="both"/>
      </w:pPr>
    </w:p>
    <w:p w:rsidR="00E024DA" w:rsidRDefault="00E024DA" w:rsidP="00E024DA">
      <w:pPr>
        <w:spacing w:after="0" w:line="240" w:lineRule="auto"/>
        <w:jc w:val="both"/>
      </w:pPr>
      <w:r>
        <w:t>23</w:t>
      </w:r>
    </w:p>
    <w:p w:rsidR="00E024DA" w:rsidRDefault="00E024DA" w:rsidP="00E024DA">
      <w:pPr>
        <w:spacing w:after="0" w:line="240" w:lineRule="auto"/>
        <w:jc w:val="both"/>
      </w:pPr>
      <w:r>
        <w:t xml:space="preserve">b) Bei dieser Sachlage durfte das Berufungsgericht nicht ohne Beweiserhebung vom Vorliegen einer nichtehelichen Lebensgemeinschaft ausgehen. Das Bestreiten in der ersten Instanz bezog sich auf die Voraussetzungen einer nichtehelichen Lebensgemeinschaft insgesamt, insbesondere auf die behauptete Dauer und das gemeinschaftliche Wirtschaften. Damit hat die Klägerin wesensbildende Voraussetzungen einer nichtehelichen Lebensgemeinschaft und diese selbst bestritten. Ein </w:t>
      </w:r>
      <w:proofErr w:type="spellStart"/>
      <w:r>
        <w:t>substantiierteres</w:t>
      </w:r>
      <w:proofErr w:type="spellEnd"/>
      <w:r>
        <w:t xml:space="preserve"> Bestreiten war nach dem Kenntnisstand der Klägerin und dem Vortrag der Beklagten nicht geboten. In der Berufungsinstanz durfte die Klägerin auf ihren erstinstanzlichen Vortrag verweisen. Der in erster Instanz siegreiche Berufungsbeklagte darf sich darauf beschränken, das angegriffene Urteil zu verteidigen, auf neue Angriffs- bzw. Verteidigungsmittel zu antworten und seinen übrigen erstinstanzlichen Vortrag allgemein in Bezug zu nehmen (vgl. BGH, Urteile vom 11. Oktober 1996 - V ZR 159/95 - abrufbar bei </w:t>
      </w:r>
      <w:proofErr w:type="spellStart"/>
      <w:r>
        <w:t>juris</w:t>
      </w:r>
      <w:proofErr w:type="spellEnd"/>
      <w:r>
        <w:t xml:space="preserve"> Tz. 9; vom 13. März 1981 - I ZR 65/79 - NJW 1982, 581 unter I 2; BVerfG NJW 2000, 131). Etwas anderes gilt nicht etwa deswegen, weil die Klägerin diesbezügliche Feststellungen im landgerichtlichen Urteil nicht angegriffen sowie den zweitinstanzlichen Vortrag der Beklagten nicht ausdrücklich bestritten hat. Das landgerichtliche Urteil enthält hierzu lediglich in den Entscheidungsgründen die Aussage, dass ein Regress nicht wegen § 67 Abs. 2 VVG a.F. ausgeschlossen sei, "obwohl die Beklagte mit dem Versicherungsnehmer seit siebzehn Jahren in häuslicher Gemeinschaft lebe und ein gemeinsames Kind mit diesem habe". Dies allein musste die Klägerin nicht zum Anlass für ein weitergehendes Bestreiten nehmen, zumal es auf das Vorliegen der Voraussetzungen einer nichtehelichen Lebensgemeinschaft nach der Rechtsauffassung des Landgerichts nicht ankam.</w:t>
      </w:r>
    </w:p>
    <w:p w:rsidR="00E024DA" w:rsidRDefault="00E024DA" w:rsidP="00E024DA">
      <w:pPr>
        <w:spacing w:after="0" w:line="240" w:lineRule="auto"/>
        <w:jc w:val="both"/>
      </w:pPr>
    </w:p>
    <w:p w:rsidR="00E024DA" w:rsidRDefault="00E024DA" w:rsidP="00E024DA">
      <w:pPr>
        <w:spacing w:after="0" w:line="240" w:lineRule="auto"/>
        <w:jc w:val="both"/>
      </w:pPr>
      <w:r>
        <w:t>24</w:t>
      </w:r>
    </w:p>
    <w:p w:rsidR="00E024DA" w:rsidRDefault="00E024DA" w:rsidP="00E024DA">
      <w:pPr>
        <w:spacing w:after="0" w:line="240" w:lineRule="auto"/>
        <w:jc w:val="both"/>
      </w:pPr>
      <w:r>
        <w:t xml:space="preserve">c) Der Senat kann nicht ausschließen, dass das Berufungsgericht bei der notwendigen Gesamtwürdigung zu einem anderen Ergebnis gekommen wäre, wenn es die gemeinsame Mittelaufbringung und Mittelverwendung - wie nach dem Streitstand geboten - als streitig behandelt und den angebotenen Beweis erhoben hätte. Die gebotenen Feststellungen wird das Berufungsgericht nachzuholen haben. Die erst in der zweiten Instanz vorgetragenen - und von der Klägerin nicht gesondert bestrittenen - weiteren </w:t>
      </w:r>
      <w:proofErr w:type="gramStart"/>
      <w:r>
        <w:t>Umstände</w:t>
      </w:r>
      <w:proofErr w:type="gramEnd"/>
      <w:r>
        <w:t xml:space="preserve"> sind für die Annahme einer bereits zum Unfallzeitpunkt bestehenden nichtehelichen Lebensgemeinschaft allenfalls von untergeordneter Bedeutung. Dies gilt namentlich für die vorgelegte Betreuungsverfügung und die von der Mutter des Versicherungsnehmers erteilte Kontovollmacht, die beide erst lange Zeit nach dem Unfall unterzeichnet wurden.</w:t>
      </w:r>
    </w:p>
    <w:p w:rsidR="00E024DA" w:rsidRDefault="00E024DA" w:rsidP="00E024DA">
      <w:pPr>
        <w:spacing w:after="0" w:line="240" w:lineRule="auto"/>
        <w:jc w:val="both"/>
      </w:pPr>
    </w:p>
    <w:p w:rsidR="00E024DA" w:rsidRDefault="00E024DA" w:rsidP="00E024DA">
      <w:pPr>
        <w:spacing w:after="0" w:line="240" w:lineRule="auto"/>
        <w:jc w:val="both"/>
      </w:pPr>
      <w:r>
        <w:t>25</w:t>
      </w:r>
    </w:p>
    <w:p w:rsidR="00E024DA" w:rsidRDefault="00E024DA" w:rsidP="00E024DA">
      <w:pPr>
        <w:spacing w:after="0" w:line="240" w:lineRule="auto"/>
        <w:jc w:val="both"/>
      </w:pPr>
      <w:r>
        <w:t xml:space="preserve">3. Das Berufungsurteil ist auch nicht etwa deshalb im Ergebnis richtig (§ 561 ZPO), weil im Zeitpunkt der Leistung der Klägerin an den Versicherungsnehmer kein übergangsfähiger Anspruch - etwa wegen vorheriger Erfüllung durch die Zahlung des Versicherungsnehmers - mehr vorhanden gewesen </w:t>
      </w:r>
      <w:r>
        <w:lastRenderedPageBreak/>
        <w:t>wäre. Der Vortrag der Beklagten zur Auflösung des Leasingvertrags und zur Zahlung an das Leasingunternehmen ist streitig geblieben. Daher hatte er zu Gunsten der Revision der Klägerin unbeachtet zu bleiben, weshalb für den Übergang zumindest ein Schadensersatzanspruch des Leasingunternehmens gegen die Beklagte aus § 823 Abs. 1 BGB wegen der Verletzung ihres Eigentums am Pkw anzunehmen ist, dessen Höhe ebenfalls nicht bestritten wurde.</w:t>
      </w:r>
    </w:p>
    <w:p w:rsidR="00E024DA" w:rsidRDefault="00E024DA" w:rsidP="00E024DA">
      <w:pPr>
        <w:spacing w:after="0" w:line="240" w:lineRule="auto"/>
        <w:jc w:val="both"/>
      </w:pPr>
    </w:p>
    <w:p w:rsidR="00E024DA" w:rsidRDefault="00E024DA" w:rsidP="00E024DA">
      <w:pPr>
        <w:spacing w:after="0" w:line="240" w:lineRule="auto"/>
        <w:jc w:val="both"/>
      </w:pPr>
      <w:r>
        <w:t>26</w:t>
      </w:r>
    </w:p>
    <w:p w:rsidR="00E024DA" w:rsidRDefault="00E024DA" w:rsidP="00E024DA">
      <w:pPr>
        <w:spacing w:after="0" w:line="240" w:lineRule="auto"/>
        <w:jc w:val="both"/>
      </w:pPr>
      <w:r>
        <w:t>III. Sollte die Beklagte bei der erforderlichen neuen Verhandlung die Voraussetzungen einer nichtehelichen Lebensgemeinschaft zum Zeitpunkt des Unfalls nicht nachweisen können, so wird das Berufungsgericht - neben dem Grad der Fahrlässigkeit - insbesondere die Frage zu klären haben, welche Ansprüche in welcher Höhe im Zeitpunkt der Leistung der Klägerin für einen Forderungsübergang (noch) zur Verfügung standen. Hierbei wird der behaupteten vorherigen Befriedigung des Leasingunternehmens erhebliche Bedeutung zukommen, da diese zu einer Erfüllung von Ersatzansprüchen oder zu einem sonstigen Erlöschen dieser Ansprüche wegen des Wegfalls des zu ersetzenden Schadens geführt haben kann. Ein vor Leistung des Versicherers erloschener Anspruch kann nicht Gegenstand eines Forderungsübergangs nach § 67 Abs. 1 Satz 1 VVG a.F. sein.</w:t>
      </w:r>
    </w:p>
    <w:p w:rsidR="00E024DA" w:rsidRDefault="00E024DA" w:rsidP="00E024DA">
      <w:pPr>
        <w:spacing w:after="0" w:line="240" w:lineRule="auto"/>
        <w:jc w:val="both"/>
      </w:pPr>
    </w:p>
    <w:p w:rsidR="00E024DA" w:rsidRDefault="00E024DA" w:rsidP="00E024DA">
      <w:pPr>
        <w:spacing w:after="0" w:line="240" w:lineRule="auto"/>
        <w:jc w:val="both"/>
      </w:pPr>
    </w:p>
    <w:p w:rsidR="00E024DA" w:rsidRDefault="00E024DA" w:rsidP="00E024DA">
      <w:pPr>
        <w:spacing w:after="0" w:line="240" w:lineRule="auto"/>
        <w:jc w:val="both"/>
      </w:pPr>
      <w:proofErr w:type="spellStart"/>
      <w:r>
        <w:t>Terno</w:t>
      </w:r>
      <w:proofErr w:type="spellEnd"/>
      <w:r>
        <w:t xml:space="preserve">                                 Dr. Schlichting                                           Wendt</w:t>
      </w:r>
    </w:p>
    <w:p w:rsidR="00E024DA" w:rsidRDefault="00E024DA" w:rsidP="00E024DA">
      <w:pPr>
        <w:spacing w:after="0" w:line="240" w:lineRule="auto"/>
        <w:jc w:val="both"/>
      </w:pPr>
    </w:p>
    <w:p w:rsidR="00E024DA" w:rsidRDefault="00E024DA" w:rsidP="00E024DA">
      <w:pPr>
        <w:spacing w:after="0" w:line="240" w:lineRule="auto"/>
        <w:jc w:val="both"/>
      </w:pPr>
      <w:r>
        <w:t xml:space="preserve">                   </w:t>
      </w:r>
      <w:proofErr w:type="spellStart"/>
      <w:r>
        <w:t>Felsch</w:t>
      </w:r>
      <w:proofErr w:type="spellEnd"/>
      <w:r>
        <w:t xml:space="preserve">                                           </w:t>
      </w:r>
      <w:proofErr w:type="spellStart"/>
      <w:r>
        <w:t>Harsdorf</w:t>
      </w:r>
      <w:proofErr w:type="spellEnd"/>
      <w:r>
        <w:t>-Gebhardt</w:t>
      </w:r>
    </w:p>
    <w:p w:rsidR="00E024DA" w:rsidRDefault="00E024DA" w:rsidP="00E024DA">
      <w:pPr>
        <w:spacing w:after="0" w:line="240" w:lineRule="auto"/>
        <w:jc w:val="both"/>
      </w:pPr>
    </w:p>
    <w:p w:rsidR="00E024DA" w:rsidRDefault="00E024DA" w:rsidP="00E024DA">
      <w:pPr>
        <w:spacing w:after="0" w:line="240" w:lineRule="auto"/>
        <w:jc w:val="both"/>
      </w:pPr>
    </w:p>
    <w:p w:rsidR="003D133D" w:rsidRDefault="00E024DA" w:rsidP="00E024DA">
      <w:pPr>
        <w:spacing w:after="0" w:line="240" w:lineRule="auto"/>
        <w:jc w:val="both"/>
      </w:pPr>
      <w:r>
        <w:t>&lt;Anmerkung der Dokumentationsstelle des Bundesgerichtshofs: Der Berichtigungsbeschluss vom 20. Mai 2009 wurde in den Urteilstext eingearbeitet.&gt;</w:t>
      </w:r>
    </w:p>
    <w:sectPr w:rsidR="003D133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1E" w:rsidRDefault="00552F1E" w:rsidP="00B12FE4">
      <w:pPr>
        <w:spacing w:after="0" w:line="240" w:lineRule="auto"/>
      </w:pPr>
      <w:r>
        <w:separator/>
      </w:r>
    </w:p>
  </w:endnote>
  <w:endnote w:type="continuationSeparator" w:id="0">
    <w:p w:rsidR="00552F1E" w:rsidRDefault="00552F1E" w:rsidP="00B1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1E" w:rsidRDefault="00552F1E" w:rsidP="00B12FE4">
      <w:pPr>
        <w:spacing w:after="0" w:line="240" w:lineRule="auto"/>
      </w:pPr>
      <w:r>
        <w:separator/>
      </w:r>
    </w:p>
  </w:footnote>
  <w:footnote w:type="continuationSeparator" w:id="0">
    <w:p w:rsidR="00552F1E" w:rsidRDefault="00552F1E" w:rsidP="00B12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7899"/>
    <w:multiLevelType w:val="hybridMultilevel"/>
    <w:tmpl w:val="F7806C10"/>
    <w:lvl w:ilvl="0" w:tplc="781E8D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xmWyZgfmOZr89MWkPk5etkEsaLA=" w:salt="OoklEqGwlwRzHnJPUPK8n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95"/>
    <w:rsid w:val="003D133D"/>
    <w:rsid w:val="00552F1E"/>
    <w:rsid w:val="00571B13"/>
    <w:rsid w:val="00611F6E"/>
    <w:rsid w:val="009F4A95"/>
    <w:rsid w:val="00B12FE4"/>
    <w:rsid w:val="00B432B9"/>
    <w:rsid w:val="00E024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12FE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2FE4"/>
    <w:rPr>
      <w:sz w:val="20"/>
      <w:szCs w:val="20"/>
    </w:rPr>
  </w:style>
  <w:style w:type="character" w:styleId="Funotenzeichen">
    <w:name w:val="footnote reference"/>
    <w:basedOn w:val="Absatz-Standardschriftart"/>
    <w:uiPriority w:val="99"/>
    <w:semiHidden/>
    <w:unhideWhenUsed/>
    <w:rsid w:val="00B12FE4"/>
    <w:rPr>
      <w:vertAlign w:val="superscript"/>
    </w:rPr>
  </w:style>
  <w:style w:type="character" w:styleId="Hyperlink">
    <w:name w:val="Hyperlink"/>
    <w:basedOn w:val="Absatz-Standardschriftart"/>
    <w:uiPriority w:val="99"/>
    <w:unhideWhenUsed/>
    <w:rsid w:val="00B12FE4"/>
    <w:rPr>
      <w:color w:val="0000FF" w:themeColor="hyperlink"/>
      <w:u w:val="single"/>
    </w:rPr>
  </w:style>
  <w:style w:type="paragraph" w:styleId="Listenabsatz">
    <w:name w:val="List Paragraph"/>
    <w:basedOn w:val="Standard"/>
    <w:uiPriority w:val="34"/>
    <w:qFormat/>
    <w:rsid w:val="00B43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12FE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2FE4"/>
    <w:rPr>
      <w:sz w:val="20"/>
      <w:szCs w:val="20"/>
    </w:rPr>
  </w:style>
  <w:style w:type="character" w:styleId="Funotenzeichen">
    <w:name w:val="footnote reference"/>
    <w:basedOn w:val="Absatz-Standardschriftart"/>
    <w:uiPriority w:val="99"/>
    <w:semiHidden/>
    <w:unhideWhenUsed/>
    <w:rsid w:val="00B12FE4"/>
    <w:rPr>
      <w:vertAlign w:val="superscript"/>
    </w:rPr>
  </w:style>
  <w:style w:type="character" w:styleId="Hyperlink">
    <w:name w:val="Hyperlink"/>
    <w:basedOn w:val="Absatz-Standardschriftart"/>
    <w:uiPriority w:val="99"/>
    <w:unhideWhenUsed/>
    <w:rsid w:val="00B12FE4"/>
    <w:rPr>
      <w:color w:val="0000FF" w:themeColor="hyperlink"/>
      <w:u w:val="single"/>
    </w:rPr>
  </w:style>
  <w:style w:type="paragraph" w:styleId="Listenabsatz">
    <w:name w:val="List Paragraph"/>
    <w:basedOn w:val="Standard"/>
    <w:uiPriority w:val="34"/>
    <w:qFormat/>
    <w:rsid w:val="00B43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EFE30-C6CA-4025-A013-CF08091A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3307</Words>
  <Characters>20840</Characters>
  <Application>Microsoft Office Word</Application>
  <DocSecurity>8</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2</cp:revision>
  <dcterms:created xsi:type="dcterms:W3CDTF">2012-10-05T19:44:00Z</dcterms:created>
  <dcterms:modified xsi:type="dcterms:W3CDTF">2012-10-05T19:44:00Z</dcterms:modified>
</cp:coreProperties>
</file>